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46B912" w14:textId="2DA14995" w:rsidR="008222DD" w:rsidRDefault="008222DD" w:rsidP="008222DD">
      <w:pPr>
        <w:jc w:val="center"/>
        <w:rPr>
          <w:rFonts w:asciiTheme="minorHAnsi" w:hAnsiTheme="minorHAnsi"/>
          <w:b/>
          <w:szCs w:val="22"/>
          <w:u w:val="single"/>
        </w:rPr>
      </w:pPr>
      <w:r>
        <w:rPr>
          <w:rFonts w:asciiTheme="minorHAnsi" w:hAnsiTheme="minorHAnsi"/>
          <w:b/>
          <w:szCs w:val="22"/>
          <w:u w:val="single"/>
        </w:rPr>
        <w:t>Motion #</w:t>
      </w:r>
      <w:r w:rsidR="007F727F">
        <w:rPr>
          <w:rFonts w:asciiTheme="minorHAnsi" w:hAnsiTheme="minorHAnsi"/>
          <w:b/>
          <w:szCs w:val="22"/>
          <w:u w:val="single"/>
        </w:rPr>
        <w:t xml:space="preserve"> 7</w:t>
      </w:r>
    </w:p>
    <w:p w14:paraId="5236BB3C" w14:textId="77777777" w:rsidR="008222DD" w:rsidRDefault="008222DD" w:rsidP="008222DD">
      <w:pPr>
        <w:jc w:val="center"/>
        <w:rPr>
          <w:rFonts w:asciiTheme="minorHAnsi" w:hAnsiTheme="minorHAnsi"/>
          <w:b/>
          <w:szCs w:val="22"/>
          <w:u w:val="single"/>
        </w:rPr>
      </w:pPr>
    </w:p>
    <w:p w14:paraId="3ABC5C7D" w14:textId="52BB2231" w:rsidR="00C76C73" w:rsidRPr="00C76C73" w:rsidRDefault="00C76C73" w:rsidP="008222DD">
      <w:pPr>
        <w:rPr>
          <w:rFonts w:asciiTheme="minorHAnsi" w:hAnsiTheme="minorHAnsi"/>
          <w:b/>
          <w:szCs w:val="22"/>
          <w:u w:val="single"/>
        </w:rPr>
      </w:pPr>
      <w:r w:rsidRPr="00C76C73">
        <w:rPr>
          <w:rFonts w:asciiTheme="minorHAnsi" w:hAnsiTheme="minorHAnsi"/>
          <w:b/>
          <w:szCs w:val="22"/>
          <w:u w:val="single"/>
        </w:rPr>
        <w:t>Standing Resolutions</w:t>
      </w:r>
    </w:p>
    <w:p w14:paraId="5865BDA4" w14:textId="77777777" w:rsidR="00C76C73" w:rsidRDefault="00C76C73" w:rsidP="008222DD">
      <w:pPr>
        <w:rPr>
          <w:rFonts w:asciiTheme="minorHAnsi" w:hAnsiTheme="minorHAnsi"/>
          <w:b/>
          <w:szCs w:val="22"/>
        </w:rPr>
      </w:pPr>
    </w:p>
    <w:p w14:paraId="18B9C284" w14:textId="77777777" w:rsidR="008222DD" w:rsidRDefault="008222DD" w:rsidP="008222DD">
      <w:pPr>
        <w:rPr>
          <w:rFonts w:asciiTheme="minorHAnsi" w:hAnsiTheme="minorHAnsi"/>
          <w:szCs w:val="22"/>
        </w:rPr>
      </w:pPr>
      <w:r w:rsidRPr="008222DD">
        <w:rPr>
          <w:rFonts w:asciiTheme="minorHAnsi" w:hAnsiTheme="minorHAnsi"/>
          <w:b/>
          <w:szCs w:val="22"/>
        </w:rPr>
        <w:t>Mover:</w:t>
      </w:r>
      <w:r w:rsidRPr="008222DD">
        <w:rPr>
          <w:rFonts w:asciiTheme="minorHAnsi" w:hAnsiTheme="minorHAnsi"/>
          <w:szCs w:val="22"/>
        </w:rPr>
        <w:t xml:space="preserve"> </w:t>
      </w:r>
      <w:r>
        <w:rPr>
          <w:rFonts w:asciiTheme="minorHAnsi" w:hAnsiTheme="minorHAnsi"/>
          <w:szCs w:val="22"/>
        </w:rPr>
        <w:t>The President</w:t>
      </w:r>
    </w:p>
    <w:p w14:paraId="29681400" w14:textId="77777777" w:rsidR="008222DD" w:rsidRPr="008222DD" w:rsidRDefault="008222DD" w:rsidP="008222DD">
      <w:pPr>
        <w:rPr>
          <w:rFonts w:asciiTheme="minorHAnsi" w:hAnsiTheme="minorHAnsi"/>
          <w:szCs w:val="22"/>
        </w:rPr>
      </w:pPr>
      <w:bookmarkStart w:id="0" w:name="_GoBack"/>
      <w:bookmarkEnd w:id="0"/>
    </w:p>
    <w:p w14:paraId="18D419DF" w14:textId="77777777" w:rsidR="008222DD" w:rsidRPr="008222DD" w:rsidRDefault="008222DD" w:rsidP="008222DD">
      <w:pPr>
        <w:spacing w:after="160" w:line="259" w:lineRule="auto"/>
        <w:jc w:val="left"/>
        <w:rPr>
          <w:rFonts w:asciiTheme="minorHAnsi" w:eastAsiaTheme="minorHAnsi" w:hAnsiTheme="minorHAnsi" w:cstheme="minorBidi"/>
          <w:b/>
          <w:szCs w:val="22"/>
          <w:lang w:eastAsia="en-US"/>
        </w:rPr>
      </w:pPr>
      <w:r w:rsidRPr="008222DD">
        <w:rPr>
          <w:rFonts w:asciiTheme="minorHAnsi" w:eastAsiaTheme="minorHAnsi" w:hAnsiTheme="minorHAnsi" w:cstheme="minorBidi"/>
          <w:b/>
          <w:szCs w:val="22"/>
          <w:lang w:eastAsia="en-US"/>
        </w:rPr>
        <w:t>That this General Synod/ Te Hīnota Whānui 2016:</w:t>
      </w:r>
    </w:p>
    <w:p w14:paraId="1BF139A2" w14:textId="77777777" w:rsidR="008222DD" w:rsidRPr="008222DD" w:rsidRDefault="008222DD" w:rsidP="008222DD">
      <w:pPr>
        <w:rPr>
          <w:rFonts w:asciiTheme="minorHAnsi" w:hAnsiTheme="minorHAnsi"/>
          <w:szCs w:val="22"/>
        </w:rPr>
      </w:pPr>
      <w:r w:rsidRPr="008222DD">
        <w:rPr>
          <w:rFonts w:asciiTheme="minorHAnsi" w:hAnsiTheme="minorHAnsi"/>
          <w:szCs w:val="22"/>
        </w:rPr>
        <w:t>Move into Committee</w:t>
      </w:r>
      <w:r>
        <w:rPr>
          <w:rFonts w:asciiTheme="minorHAnsi" w:hAnsiTheme="minorHAnsi"/>
          <w:szCs w:val="22"/>
        </w:rPr>
        <w:t>,</w:t>
      </w:r>
      <w:r w:rsidRPr="008222DD">
        <w:rPr>
          <w:rFonts w:asciiTheme="minorHAnsi" w:hAnsiTheme="minorHAnsi"/>
          <w:szCs w:val="22"/>
        </w:rPr>
        <w:t xml:space="preserve"> </w:t>
      </w:r>
      <w:r>
        <w:rPr>
          <w:rFonts w:asciiTheme="minorHAnsi" w:hAnsiTheme="minorHAnsi"/>
          <w:szCs w:val="22"/>
        </w:rPr>
        <w:t xml:space="preserve">pursuant to Title C Canon II Clause 3, </w:t>
      </w:r>
      <w:r w:rsidRPr="008222DD">
        <w:rPr>
          <w:rFonts w:asciiTheme="minorHAnsi" w:hAnsiTheme="minorHAnsi"/>
          <w:szCs w:val="22"/>
        </w:rPr>
        <w:t xml:space="preserve">to consider the </w:t>
      </w:r>
      <w:r>
        <w:rPr>
          <w:rFonts w:asciiTheme="minorHAnsi" w:hAnsiTheme="minorHAnsi"/>
          <w:szCs w:val="22"/>
        </w:rPr>
        <w:t xml:space="preserve">schedule of </w:t>
      </w:r>
      <w:r w:rsidRPr="008222DD">
        <w:rPr>
          <w:rFonts w:asciiTheme="minorHAnsi" w:hAnsiTheme="minorHAnsi"/>
          <w:szCs w:val="22"/>
        </w:rPr>
        <w:t>recommended Standing</w:t>
      </w:r>
      <w:r>
        <w:rPr>
          <w:rFonts w:asciiTheme="minorHAnsi" w:hAnsiTheme="minorHAnsi"/>
          <w:szCs w:val="22"/>
        </w:rPr>
        <w:t xml:space="preserve"> </w:t>
      </w:r>
      <w:r w:rsidRPr="008222DD">
        <w:rPr>
          <w:rFonts w:asciiTheme="minorHAnsi" w:hAnsiTheme="minorHAnsi"/>
          <w:szCs w:val="22"/>
        </w:rPr>
        <w:t>Resolutions f</w:t>
      </w:r>
      <w:r>
        <w:rPr>
          <w:rFonts w:asciiTheme="minorHAnsi" w:hAnsiTheme="minorHAnsi"/>
          <w:szCs w:val="22"/>
        </w:rPr>
        <w:t>rom the</w:t>
      </w:r>
      <w:r w:rsidRPr="008222DD">
        <w:rPr>
          <w:rFonts w:asciiTheme="minorHAnsi" w:hAnsiTheme="minorHAnsi"/>
          <w:szCs w:val="22"/>
        </w:rPr>
        <w:t xml:space="preserve"> Judicial Committee</w:t>
      </w:r>
      <w:r>
        <w:rPr>
          <w:rFonts w:asciiTheme="minorHAnsi" w:hAnsiTheme="minorHAnsi"/>
          <w:szCs w:val="22"/>
        </w:rPr>
        <w:t>.</w:t>
      </w:r>
    </w:p>
    <w:p w14:paraId="103CC97B" w14:textId="77777777" w:rsidR="008222DD" w:rsidRPr="008222DD" w:rsidRDefault="008222DD" w:rsidP="008222DD">
      <w:pPr>
        <w:rPr>
          <w:rFonts w:asciiTheme="minorHAnsi" w:hAnsiTheme="minorHAnsi"/>
          <w:szCs w:val="22"/>
        </w:rPr>
      </w:pPr>
    </w:p>
    <w:p w14:paraId="070A2E0E" w14:textId="77777777" w:rsidR="008222DD" w:rsidRPr="008222DD" w:rsidRDefault="008222DD" w:rsidP="008222DD">
      <w:pPr>
        <w:rPr>
          <w:rFonts w:asciiTheme="minorHAnsi" w:hAnsiTheme="minorHAnsi"/>
          <w:szCs w:val="22"/>
        </w:rPr>
      </w:pPr>
      <w:r w:rsidRPr="008222DD">
        <w:rPr>
          <w:rFonts w:asciiTheme="minorHAnsi" w:hAnsiTheme="minorHAnsi"/>
          <w:szCs w:val="22"/>
        </w:rPr>
        <w:t>(In</w:t>
      </w:r>
      <w:r>
        <w:rPr>
          <w:rFonts w:asciiTheme="minorHAnsi" w:hAnsiTheme="minorHAnsi"/>
          <w:szCs w:val="22"/>
        </w:rPr>
        <w:t xml:space="preserve"> </w:t>
      </w:r>
      <w:r w:rsidRPr="008222DD">
        <w:rPr>
          <w:rFonts w:asciiTheme="minorHAnsi" w:hAnsiTheme="minorHAnsi"/>
          <w:szCs w:val="22"/>
        </w:rPr>
        <w:t>Committee)</w:t>
      </w:r>
    </w:p>
    <w:p w14:paraId="2C9595AB" w14:textId="77777777" w:rsidR="008222DD" w:rsidRPr="008222DD" w:rsidRDefault="008222DD" w:rsidP="008222DD">
      <w:pPr>
        <w:rPr>
          <w:rFonts w:asciiTheme="minorHAnsi" w:hAnsiTheme="minorHAnsi"/>
          <w:szCs w:val="22"/>
        </w:rPr>
      </w:pPr>
    </w:p>
    <w:p w14:paraId="019B9F03" w14:textId="77777777" w:rsidR="008222DD" w:rsidRPr="008222DD" w:rsidRDefault="008222DD" w:rsidP="008222DD">
      <w:pPr>
        <w:rPr>
          <w:rFonts w:asciiTheme="minorHAnsi" w:hAnsiTheme="minorHAnsi"/>
          <w:b/>
          <w:szCs w:val="22"/>
          <w:u w:val="single"/>
        </w:rPr>
      </w:pPr>
      <w:r w:rsidRPr="008222DD">
        <w:rPr>
          <w:rFonts w:asciiTheme="minorHAnsi" w:hAnsiTheme="minorHAnsi"/>
          <w:b/>
          <w:szCs w:val="22"/>
          <w:u w:val="single"/>
        </w:rPr>
        <w:t>Schedule of recommended Standing Resolutions:</w:t>
      </w:r>
    </w:p>
    <w:p w14:paraId="4A2FDA0E" w14:textId="77777777" w:rsidR="008222DD" w:rsidRPr="00FA02F7" w:rsidRDefault="008222DD" w:rsidP="008222DD">
      <w:pPr>
        <w:rPr>
          <w:rFonts w:asciiTheme="minorHAnsi" w:hAnsiTheme="minorHAnsi"/>
          <w:szCs w:val="22"/>
        </w:rPr>
      </w:pPr>
    </w:p>
    <w:p w14:paraId="28CD2C1F" w14:textId="77777777" w:rsidR="008222DD" w:rsidRPr="00F754ED" w:rsidRDefault="008222DD" w:rsidP="008222DD">
      <w:pPr>
        <w:pStyle w:val="Default"/>
        <w:rPr>
          <w:rFonts w:asciiTheme="minorHAnsi" w:hAnsiTheme="minorHAnsi"/>
          <w:sz w:val="22"/>
          <w:szCs w:val="22"/>
          <w:u w:val="single"/>
        </w:rPr>
      </w:pPr>
      <w:r w:rsidRPr="00F754ED">
        <w:rPr>
          <w:rFonts w:asciiTheme="minorHAnsi" w:hAnsiTheme="minorHAnsi"/>
          <w:sz w:val="22"/>
          <w:szCs w:val="22"/>
          <w:u w:val="single"/>
        </w:rPr>
        <w:t>1 E</w:t>
      </w:r>
      <w:r w:rsidRPr="00F754ED">
        <w:rPr>
          <w:bCs/>
          <w:sz w:val="22"/>
          <w:szCs w:val="22"/>
          <w:u w:val="single"/>
        </w:rPr>
        <w:t>lectronic availability of General Synod/te Hīnota Whānui papers</w:t>
      </w:r>
    </w:p>
    <w:p w14:paraId="622268D1" w14:textId="77777777" w:rsidR="008222DD" w:rsidRPr="00FA02F7" w:rsidRDefault="008222DD" w:rsidP="008222DD">
      <w:pPr>
        <w:pStyle w:val="Default"/>
        <w:rPr>
          <w:rFonts w:asciiTheme="minorHAnsi" w:hAnsiTheme="minorHAnsi"/>
          <w:sz w:val="22"/>
          <w:szCs w:val="22"/>
        </w:rPr>
      </w:pPr>
      <w:r w:rsidRPr="00FA02F7">
        <w:rPr>
          <w:rFonts w:asciiTheme="minorHAnsi" w:hAnsiTheme="minorHAnsi"/>
          <w:sz w:val="22"/>
          <w:szCs w:val="22"/>
        </w:rPr>
        <w:t xml:space="preserve">That the General Secretary is instructed to make the material to be considered by each Session of the </w:t>
      </w:r>
      <w:r w:rsidRPr="00F754ED">
        <w:rPr>
          <w:bCs/>
          <w:sz w:val="22"/>
          <w:szCs w:val="22"/>
        </w:rPr>
        <w:t xml:space="preserve">General Synod/te Hīnota Whānui </w:t>
      </w:r>
      <w:r w:rsidRPr="00FA02F7">
        <w:rPr>
          <w:rFonts w:asciiTheme="minorHAnsi" w:hAnsiTheme="minorHAnsi"/>
          <w:sz w:val="22"/>
          <w:szCs w:val="22"/>
        </w:rPr>
        <w:t xml:space="preserve">available to members of the church (public) prior to the Session, in accordance with SO99, unless the General Secretary or the Standing Committee of General Synod considers that particular material is confidential to members of the Synod/te Hīnota, or that publication prior to the Synod/te Hīnota would be detrimental to the Church. </w:t>
      </w:r>
    </w:p>
    <w:p w14:paraId="5D1C05AC" w14:textId="77777777" w:rsidR="008222DD" w:rsidRDefault="008222DD" w:rsidP="008222DD">
      <w:pPr>
        <w:rPr>
          <w:rFonts w:asciiTheme="minorHAnsi" w:hAnsiTheme="minorHAnsi"/>
          <w:szCs w:val="22"/>
        </w:rPr>
      </w:pPr>
    </w:p>
    <w:p w14:paraId="171278F8" w14:textId="77777777" w:rsidR="008222DD" w:rsidRDefault="008222DD" w:rsidP="008222DD">
      <w:pPr>
        <w:rPr>
          <w:rFonts w:asciiTheme="minorHAnsi" w:hAnsiTheme="minorHAnsi"/>
          <w:szCs w:val="22"/>
        </w:rPr>
      </w:pPr>
    </w:p>
    <w:p w14:paraId="3AB781A2" w14:textId="77777777" w:rsidR="008222DD" w:rsidRPr="00F754ED" w:rsidRDefault="008222DD" w:rsidP="008222DD">
      <w:pPr>
        <w:rPr>
          <w:rFonts w:asciiTheme="minorHAnsi" w:hAnsiTheme="minorHAnsi"/>
          <w:szCs w:val="22"/>
          <w:u w:val="single"/>
        </w:rPr>
      </w:pPr>
      <w:r w:rsidRPr="00F754ED">
        <w:rPr>
          <w:rFonts w:asciiTheme="minorHAnsi" w:hAnsiTheme="minorHAnsi"/>
          <w:szCs w:val="22"/>
          <w:u w:val="single"/>
        </w:rPr>
        <w:t>2 Best practice employment</w:t>
      </w:r>
    </w:p>
    <w:p w14:paraId="2CF4FEE4" w14:textId="77777777" w:rsidR="008222DD" w:rsidRDefault="008222DD" w:rsidP="008222DD">
      <w:pPr>
        <w:pStyle w:val="Default"/>
        <w:rPr>
          <w:rFonts w:asciiTheme="minorHAnsi" w:hAnsiTheme="minorHAnsi"/>
          <w:sz w:val="22"/>
          <w:szCs w:val="22"/>
        </w:rPr>
      </w:pPr>
      <w:r w:rsidRPr="00F754ED">
        <w:rPr>
          <w:rFonts w:asciiTheme="minorHAnsi" w:hAnsiTheme="minorHAnsi"/>
          <w:bCs/>
          <w:sz w:val="22"/>
          <w:szCs w:val="22"/>
        </w:rPr>
        <w:t>That th</w:t>
      </w:r>
      <w:r>
        <w:rPr>
          <w:rFonts w:asciiTheme="minorHAnsi" w:hAnsiTheme="minorHAnsi"/>
          <w:bCs/>
          <w:sz w:val="22"/>
          <w:szCs w:val="22"/>
        </w:rPr>
        <w:t>e</w:t>
      </w:r>
      <w:r w:rsidRPr="00F754ED">
        <w:rPr>
          <w:rFonts w:asciiTheme="minorHAnsi" w:hAnsiTheme="minorHAnsi"/>
          <w:bCs/>
          <w:sz w:val="22"/>
          <w:szCs w:val="22"/>
        </w:rPr>
        <w:t xml:space="preserve"> General Synod/te Hīnota Whānui c</w:t>
      </w:r>
      <w:r w:rsidRPr="00F754ED">
        <w:rPr>
          <w:rFonts w:asciiTheme="minorHAnsi" w:hAnsiTheme="minorHAnsi"/>
          <w:sz w:val="22"/>
          <w:szCs w:val="22"/>
        </w:rPr>
        <w:t>ommits itself to best practice in all areas where staff are employed.</w:t>
      </w:r>
    </w:p>
    <w:p w14:paraId="4DE33EE7" w14:textId="77777777" w:rsidR="004E79E3" w:rsidRDefault="004E79E3"/>
    <w:sectPr w:rsidR="004E79E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22DD"/>
    <w:rsid w:val="004E79E3"/>
    <w:rsid w:val="007F727F"/>
    <w:rsid w:val="008222DD"/>
    <w:rsid w:val="00C76C73"/>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977E4"/>
  <w15:chartTrackingRefBased/>
  <w15:docId w15:val="{4F4DDC50-25CD-46BC-8CB6-3F52B58CC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22DD"/>
    <w:pPr>
      <w:spacing w:after="0" w:line="240" w:lineRule="auto"/>
      <w:jc w:val="both"/>
    </w:pPr>
    <w:rPr>
      <w:rFonts w:ascii="Arial" w:eastAsia="Times New Roman" w:hAnsi="Arial" w:cs="Times New Roman"/>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222DD"/>
    <w:pPr>
      <w:autoSpaceDE w:val="0"/>
      <w:autoSpaceDN w:val="0"/>
      <w:adjustRightInd w:val="0"/>
      <w:spacing w:after="0" w:line="240" w:lineRule="auto"/>
    </w:pPr>
    <w:rPr>
      <w:rFonts w:ascii="Calibri" w:eastAsia="Times New Roman" w:hAnsi="Calibri" w:cs="Calibri"/>
      <w:color w:val="000000"/>
      <w:sz w:val="24"/>
      <w:szCs w:val="24"/>
      <w:lang w:eastAsia="en-N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148</Words>
  <Characters>846</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3</cp:revision>
  <dcterms:created xsi:type="dcterms:W3CDTF">2016-03-12T18:57:00Z</dcterms:created>
  <dcterms:modified xsi:type="dcterms:W3CDTF">2016-03-21T01:36:00Z</dcterms:modified>
</cp:coreProperties>
</file>